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8D0" w:rsidRPr="004422EE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iCs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ОБЩИЕ ПОЛОЖЕНИЯ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ОСНОВНЫЕ ПОЛОЖЕНИЯ ЖИЛИЩНОЕ ЗАКОНОДАТЕЛЬСТВО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Основные начала жилищного законодательства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Обеспечение условий для осуществления права на жилище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Нерпикосновенность жилища и недопустимость его произволнього лишения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Жилищные отношения.Участники жилищных отношений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Жилищное законодательство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ОБЪЕКТЫ ЖИЛИЩНЫХ ПРАВ ЖИЛИЩНЫХ ФОНД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Объекты жилищных прав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Виды жилых помещений</w:t>
      </w:r>
    </w:p>
    <w:p w:rsidR="003718D0" w:rsidRPr="00F25356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Назнаение жилого помещения и пределы его использования.</w:t>
      </w:r>
      <w:r>
        <w:rPr>
          <w:i w:val="0"/>
          <w:noProof/>
          <w:sz w:val="25"/>
          <w:szCs w:val="25"/>
        </w:rPr>
        <w:br/>
      </w:r>
      <w:r w:rsidRPr="00F25356">
        <w:rPr>
          <w:i w:val="0"/>
          <w:noProof/>
          <w:sz w:val="25"/>
          <w:szCs w:val="25"/>
        </w:rPr>
        <w:t>Пользование жилым помещением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Государственнная регистрация прав на жилые помещения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Жилищный фонд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 xml:space="preserve">ПЕРЕВОД ЖИЛОГО ПОМЕЩЕНИЯ\ В НЕЖИЛОЕ ПОМЕЩЕНИЕ И НЕЖИЛОГО ПОМЕЩЕНИЯ В ЖИЛОЕ ПОМЕЩЕНИЕ 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 xml:space="preserve">Условия перевода жилого помещения в нежилое помещение и нежилого помещения в жилое помещение 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Порядок перевода жилого помещения в нежиллое помещение и нежилого помещения в жилое помещение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 xml:space="preserve">Отказ в переводе жилого помещенеия в нежилое помещение или нежилого помещения в жилое помещение 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 xml:space="preserve">ПЕРЕУСРОЙСТВО И ПЕРЕПЛАНИРОВКА ЖИЛОГО ПОМЕЩЕНИЯ 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Виды переустройства и перепланировки жилого помщенеия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Основные проведенияя переустройства и (или) перепланироввки жилого помещения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ПРАВО СОБСТВЕННОСТИ И ДРУГИЕ ВЕЩНЫЕ ПРАВА НА ЖИЛЫЕ ПОМЕЩЕНИЯ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ПРАВА И ОБЯЗАННОСТИ СОБСТВЕННИКА ЖИЛОГО ПОМЕЩЕНИЯ И ИНЫХ ПРОЖИВАЮЩИХ В ПРИНАДЛЕЖАЩЕМ ЕМУ ПОМЕЩЕНИИ ГРАЖДАН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Права и обязанности собственника жилого помещения</w:t>
      </w:r>
    </w:p>
    <w:p w:rsidR="003718D0" w:rsidRPr="00143DE9" w:rsidRDefault="003718D0" w:rsidP="003718D0">
      <w:pPr>
        <w:pStyle w:val="a3"/>
        <w:tabs>
          <w:tab w:val="clear" w:pos="6804"/>
          <w:tab w:val="left" w:pos="1843"/>
          <w:tab w:val="left" w:pos="4253"/>
        </w:tabs>
        <w:spacing w:beforeLines="80" w:before="192"/>
        <w:jc w:val="both"/>
        <w:rPr>
          <w:i w:val="0"/>
          <w:noProof/>
          <w:sz w:val="25"/>
          <w:szCs w:val="25"/>
        </w:rPr>
      </w:pPr>
      <w:r w:rsidRPr="00143DE9">
        <w:rPr>
          <w:i w:val="0"/>
          <w:noProof/>
          <w:sz w:val="25"/>
          <w:szCs w:val="25"/>
        </w:rPr>
        <w:t>Права и обязанности граждан проживающих совмесмтно с собственником в принадлежащем ему жилом помещении</w:t>
      </w:r>
    </w:p>
    <w:p w:rsidR="0045221B" w:rsidRDefault="003718D0" w:rsidP="003718D0">
      <w:bookmarkStart w:id="0" w:name="_GoBack"/>
      <w:bookmarkEnd w:id="0"/>
    </w:p>
    <w:sectPr w:rsidR="00452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23D12"/>
    <w:multiLevelType w:val="multilevel"/>
    <w:tmpl w:val="9DDA413C"/>
    <w:lvl w:ilvl="0">
      <w:start w:val="1"/>
      <w:numFmt w:val="russianUpper"/>
      <w:lvlText w:val="РАЗДЕЛ_(%1)"/>
      <w:lvlJc w:val="left"/>
      <w:pPr>
        <w:ind w:left="360" w:hanging="360"/>
      </w:pPr>
      <w:rPr>
        <w:rFonts w:hint="default"/>
        <w:b/>
        <w:i w:val="0"/>
        <w:color w:val="1F4E79" w:themeColor="accent1" w:themeShade="80"/>
      </w:rPr>
    </w:lvl>
    <w:lvl w:ilvl="1">
      <w:start w:val="1"/>
      <w:numFmt w:val="upperRoman"/>
      <w:lvlText w:val="Гл_%2."/>
      <w:lvlJc w:val="left"/>
      <w:pPr>
        <w:ind w:left="720" w:hanging="360"/>
      </w:pPr>
      <w:rPr>
        <w:rFonts w:hint="default"/>
        <w:b/>
        <w:i w:val="0"/>
        <w:color w:val="C00000"/>
      </w:rPr>
    </w:lvl>
    <w:lvl w:ilvl="2">
      <w:start w:val="1"/>
      <w:numFmt w:val="decimalZero"/>
      <w:lvlRestart w:val="1"/>
      <w:lvlText w:val="(%1.%3)"/>
      <w:lvlJc w:val="left"/>
      <w:pPr>
        <w:ind w:left="1080" w:hanging="360"/>
      </w:pPr>
      <w:rPr>
        <w:rFonts w:hint="default"/>
        <w:b/>
        <w:i w:val="0"/>
        <w:color w:val="538135" w:themeColor="accent6" w:themeShade="BF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5E7"/>
    <w:rsid w:val="003718D0"/>
    <w:rsid w:val="00BD45E7"/>
    <w:rsid w:val="00CA0057"/>
    <w:rsid w:val="00F2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3E5C5-7308-4BB2-90C5-9C2F6F0A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18D0"/>
    <w:pPr>
      <w:tabs>
        <w:tab w:val="decimal" w:leader="hyphen" w:pos="6804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718D0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2017-12-06T11:35:00Z</dcterms:created>
  <dcterms:modified xsi:type="dcterms:W3CDTF">2017-12-06T11:35:00Z</dcterms:modified>
</cp:coreProperties>
</file>